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B1869" w14:textId="3B351DF2" w:rsidR="00CD2A83" w:rsidRDefault="00A1098A" w:rsidP="00712895">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p w14:paraId="31CCCC4C" w14:textId="77777777" w:rsidR="00CD2A83" w:rsidRDefault="00CD2A83" w:rsidP="00712895">
      <w:pPr>
        <w:spacing w:line="480" w:lineRule="auto"/>
        <w:contextualSpacing/>
        <w:rPr>
          <w:rFonts w:ascii="Times New Roman" w:hAnsi="Times New Roman" w:cs="Times New Roman"/>
          <w:b/>
          <w:bCs/>
          <w:sz w:val="24"/>
          <w:szCs w:val="24"/>
        </w:rPr>
      </w:pPr>
    </w:p>
    <w:p w14:paraId="09CD4033" w14:textId="77777777" w:rsidR="00CD2A83" w:rsidRDefault="00CD2A83" w:rsidP="00712895">
      <w:pPr>
        <w:spacing w:line="480" w:lineRule="auto"/>
        <w:contextualSpacing/>
        <w:rPr>
          <w:rFonts w:ascii="Times New Roman" w:hAnsi="Times New Roman" w:cs="Times New Roman"/>
          <w:b/>
          <w:bCs/>
          <w:sz w:val="24"/>
          <w:szCs w:val="24"/>
        </w:rPr>
      </w:pPr>
    </w:p>
    <w:p w14:paraId="6F27C435" w14:textId="77777777" w:rsidR="00CD2A83" w:rsidRDefault="00CD2A83" w:rsidP="00712895">
      <w:pPr>
        <w:spacing w:line="480" w:lineRule="auto"/>
        <w:contextualSpacing/>
        <w:rPr>
          <w:rFonts w:ascii="Times New Roman" w:hAnsi="Times New Roman" w:cs="Times New Roman"/>
          <w:b/>
          <w:bCs/>
          <w:sz w:val="24"/>
          <w:szCs w:val="24"/>
        </w:rPr>
      </w:pPr>
    </w:p>
    <w:p w14:paraId="3A153450" w14:textId="69978DA1" w:rsidR="0068416F" w:rsidRDefault="00A1098A" w:rsidP="00712895">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SWEETENED BEVERAGES</w:t>
      </w:r>
      <w:r w:rsidR="00712895">
        <w:rPr>
          <w:rFonts w:ascii="Times New Roman" w:hAnsi="Times New Roman" w:cs="Times New Roman"/>
          <w:b/>
          <w:bCs/>
          <w:sz w:val="24"/>
          <w:szCs w:val="24"/>
        </w:rPr>
        <w:t xml:space="preserve"> IN BERKELEY</w:t>
      </w:r>
    </w:p>
    <w:p w14:paraId="76213E6A" w14:textId="77777777" w:rsidR="00712895" w:rsidRDefault="00712895" w:rsidP="00712895">
      <w:pPr>
        <w:spacing w:line="480" w:lineRule="auto"/>
        <w:contextualSpacing/>
        <w:rPr>
          <w:rFonts w:ascii="Times New Roman" w:hAnsi="Times New Roman" w:cs="Times New Roman"/>
          <w:b/>
          <w:bCs/>
          <w:sz w:val="24"/>
          <w:szCs w:val="24"/>
        </w:rPr>
      </w:pPr>
    </w:p>
    <w:p w14:paraId="2BE33638" w14:textId="00F74488" w:rsidR="00CD2A83" w:rsidRDefault="00A1098A" w:rsidP="0071289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290CBE05" w14:textId="77777777" w:rsidR="00712895" w:rsidRDefault="00712895" w:rsidP="00712895">
      <w:pPr>
        <w:spacing w:line="480" w:lineRule="auto"/>
        <w:contextualSpacing/>
        <w:rPr>
          <w:rFonts w:ascii="Times New Roman" w:hAnsi="Times New Roman" w:cs="Times New Roman"/>
          <w:sz w:val="24"/>
          <w:szCs w:val="24"/>
        </w:rPr>
      </w:pPr>
    </w:p>
    <w:p w14:paraId="18C76338" w14:textId="68E28A86" w:rsidR="00CD2A83" w:rsidRDefault="00A1098A" w:rsidP="0071289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(Affiliated Institution)</w:t>
      </w:r>
    </w:p>
    <w:p w14:paraId="55E931AC" w14:textId="77777777" w:rsidR="00712895" w:rsidRDefault="00712895" w:rsidP="00712895">
      <w:pPr>
        <w:spacing w:line="480" w:lineRule="auto"/>
        <w:contextualSpacing/>
        <w:rPr>
          <w:rFonts w:ascii="Times New Roman" w:hAnsi="Times New Roman" w:cs="Times New Roman"/>
          <w:sz w:val="24"/>
          <w:szCs w:val="24"/>
        </w:rPr>
      </w:pPr>
    </w:p>
    <w:p w14:paraId="5E54C3A3" w14:textId="1C920855" w:rsidR="00CD2A83" w:rsidRDefault="00A1098A" w:rsidP="0071289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712895">
        <w:rPr>
          <w:rFonts w:ascii="Times New Roman" w:hAnsi="Times New Roman" w:cs="Times New Roman"/>
          <w:sz w:val="24"/>
          <w:szCs w:val="24"/>
        </w:rPr>
        <w:t xml:space="preserve">    </w:t>
      </w:r>
      <w:r>
        <w:rPr>
          <w:rFonts w:ascii="Times New Roman" w:hAnsi="Times New Roman" w:cs="Times New Roman"/>
          <w:sz w:val="24"/>
          <w:szCs w:val="24"/>
        </w:rPr>
        <w:t>(Course)</w:t>
      </w:r>
    </w:p>
    <w:p w14:paraId="63F44EFB" w14:textId="77777777" w:rsidR="00712895" w:rsidRDefault="00712895" w:rsidP="00712895">
      <w:pPr>
        <w:spacing w:line="480" w:lineRule="auto"/>
        <w:contextualSpacing/>
        <w:rPr>
          <w:rFonts w:ascii="Times New Roman" w:hAnsi="Times New Roman" w:cs="Times New Roman"/>
          <w:sz w:val="24"/>
          <w:szCs w:val="24"/>
        </w:rPr>
      </w:pPr>
    </w:p>
    <w:p w14:paraId="1319D1C4" w14:textId="7144705D" w:rsidR="00336253" w:rsidRDefault="00A1098A" w:rsidP="0071289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712895">
        <w:rPr>
          <w:rFonts w:ascii="Times New Roman" w:hAnsi="Times New Roman" w:cs="Times New Roman"/>
          <w:sz w:val="24"/>
          <w:szCs w:val="24"/>
        </w:rPr>
        <w:t xml:space="preserve">    </w:t>
      </w:r>
      <w:r>
        <w:rPr>
          <w:rFonts w:ascii="Times New Roman" w:hAnsi="Times New Roman" w:cs="Times New Roman"/>
          <w:sz w:val="24"/>
          <w:szCs w:val="24"/>
        </w:rPr>
        <w:t>(Date)</w:t>
      </w:r>
    </w:p>
    <w:p w14:paraId="3C5321AF" w14:textId="77777777" w:rsidR="00336253" w:rsidRDefault="00A1098A" w:rsidP="00712895">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37B43418" w14:textId="718C81B5" w:rsidR="00712895" w:rsidRDefault="00A1098A" w:rsidP="0071289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bCs/>
          <w:sz w:val="24"/>
          <w:szCs w:val="24"/>
        </w:rPr>
        <w:t>SWEETENED BEVERAGES IN BERKELEY</w:t>
      </w:r>
      <w:r>
        <w:rPr>
          <w:rFonts w:ascii="Times New Roman" w:hAnsi="Times New Roman" w:cs="Times New Roman"/>
          <w:sz w:val="24"/>
          <w:szCs w:val="24"/>
        </w:rPr>
        <w:t xml:space="preserve">  </w:t>
      </w:r>
    </w:p>
    <w:p w14:paraId="7F1E962A" w14:textId="77777777" w:rsidR="000F3C36" w:rsidRDefault="000F3C36" w:rsidP="0071289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36253" w:rsidRPr="00336253">
        <w:rPr>
          <w:rFonts w:ascii="Times New Roman" w:hAnsi="Times New Roman" w:cs="Times New Roman"/>
          <w:sz w:val="24"/>
          <w:szCs w:val="24"/>
        </w:rPr>
        <w:t xml:space="preserve">Utilizing a distinction in-contrasts approach, </w:t>
      </w:r>
      <w:r>
        <w:rPr>
          <w:rFonts w:ascii="Times New Roman" w:hAnsi="Times New Roman" w:cs="Times New Roman"/>
          <w:sz w:val="24"/>
          <w:szCs w:val="24"/>
        </w:rPr>
        <w:t>there</w:t>
      </w:r>
      <w:r w:rsidR="003B003C">
        <w:rPr>
          <w:rFonts w:ascii="Times New Roman" w:hAnsi="Times New Roman" w:cs="Times New Roman"/>
          <w:sz w:val="24"/>
          <w:szCs w:val="24"/>
        </w:rPr>
        <w:t xml:space="preserve"> was</w:t>
      </w:r>
      <w:r w:rsidR="00336253" w:rsidRPr="00336253">
        <w:rPr>
          <w:rFonts w:ascii="Times New Roman" w:hAnsi="Times New Roman" w:cs="Times New Roman"/>
          <w:sz w:val="24"/>
          <w:szCs w:val="24"/>
        </w:rPr>
        <w:t xml:space="preserve"> assess</w:t>
      </w:r>
      <w:r w:rsidR="003B003C">
        <w:rPr>
          <w:rFonts w:ascii="Times New Roman" w:hAnsi="Times New Roman" w:cs="Times New Roman"/>
          <w:sz w:val="24"/>
          <w:szCs w:val="24"/>
        </w:rPr>
        <w:t xml:space="preserve">ment </w:t>
      </w:r>
      <w:r>
        <w:rPr>
          <w:rFonts w:ascii="Times New Roman" w:hAnsi="Times New Roman" w:cs="Times New Roman"/>
          <w:sz w:val="24"/>
          <w:szCs w:val="24"/>
        </w:rPr>
        <w:t xml:space="preserve">of </w:t>
      </w:r>
      <w:r w:rsidRPr="00336253">
        <w:rPr>
          <w:rFonts w:ascii="Times New Roman" w:hAnsi="Times New Roman" w:cs="Times New Roman"/>
          <w:sz w:val="24"/>
          <w:szCs w:val="24"/>
        </w:rPr>
        <w:t>pre</w:t>
      </w:r>
      <w:r w:rsidR="00336253" w:rsidRPr="00336253">
        <w:rPr>
          <w:rFonts w:ascii="Times New Roman" w:hAnsi="Times New Roman" w:cs="Times New Roman"/>
          <w:sz w:val="24"/>
          <w:szCs w:val="24"/>
        </w:rPr>
        <w:t xml:space="preserve">-to </w:t>
      </w:r>
      <w:r w:rsidR="00D454D3" w:rsidRPr="00336253">
        <w:rPr>
          <w:rFonts w:ascii="Times New Roman" w:hAnsi="Times New Roman" w:cs="Times New Roman"/>
          <w:sz w:val="24"/>
          <w:szCs w:val="24"/>
        </w:rPr>
        <w:t>post-tax</w:t>
      </w:r>
      <w:r w:rsidR="00336253" w:rsidRPr="00336253">
        <w:rPr>
          <w:rFonts w:ascii="Times New Roman" w:hAnsi="Times New Roman" w:cs="Times New Roman"/>
          <w:sz w:val="24"/>
          <w:szCs w:val="24"/>
        </w:rPr>
        <w:t xml:space="preserve"> changes in drink utilization in Berkeley relative with that in urban examination areas</w:t>
      </w:r>
      <w:r w:rsidR="00D454D3">
        <w:rPr>
          <w:rFonts w:ascii="Times New Roman" w:hAnsi="Times New Roman" w:cs="Times New Roman"/>
          <w:sz w:val="24"/>
          <w:szCs w:val="24"/>
        </w:rPr>
        <w:t>.</w:t>
      </w:r>
      <w:r w:rsidR="00D454D3" w:rsidRPr="00D454D3">
        <w:t xml:space="preserve"> </w:t>
      </w:r>
      <w:r w:rsidR="00D454D3" w:rsidRPr="00D454D3">
        <w:rPr>
          <w:rFonts w:ascii="Times New Roman" w:hAnsi="Times New Roman" w:cs="Times New Roman"/>
          <w:sz w:val="24"/>
          <w:szCs w:val="24"/>
        </w:rPr>
        <w:t xml:space="preserve">The pointer for Berkeley balanced for pretax contrasts among Berkeley and the examination of the metropolitan </w:t>
      </w:r>
      <w:r w:rsidRPr="00D454D3">
        <w:rPr>
          <w:rFonts w:ascii="Times New Roman" w:hAnsi="Times New Roman" w:cs="Times New Roman"/>
          <w:sz w:val="24"/>
          <w:szCs w:val="24"/>
        </w:rPr>
        <w:t>regions.</w:t>
      </w:r>
      <w:r w:rsidRPr="00014C80">
        <w:rPr>
          <w:rFonts w:ascii="Times New Roman" w:hAnsi="Times New Roman" w:cs="Times New Roman"/>
          <w:sz w:val="24"/>
          <w:szCs w:val="24"/>
        </w:rPr>
        <w:t xml:space="preserve"> Anticipating</w:t>
      </w:r>
      <w:r w:rsidR="00A1098A" w:rsidRPr="00014C80">
        <w:rPr>
          <w:rFonts w:ascii="Times New Roman" w:hAnsi="Times New Roman" w:cs="Times New Roman"/>
          <w:sz w:val="24"/>
          <w:szCs w:val="24"/>
        </w:rPr>
        <w:t xml:space="preserve"> the impact of SSB charges and other focused on food and drink charges is hard for at any rate two reasons. To start with, albeit different recommendations on enormous SSB charges to the extent of 0.25 penny per ounce or more have been talked about at the government, state, and neighborhood levels, no locale has ordered such huge duties. The nonappearance of existing huge charges on SSBs makes it inconceivable for analysts to inspect ex-post the effect of such expenses on sustenance and wellbeing utilizing semi exploratory plans, for example, contrast in-distinction models. </w:t>
      </w:r>
    </w:p>
    <w:p w14:paraId="5F097BF5" w14:textId="14446EF0" w:rsidR="00CD2A83" w:rsidRDefault="000F3C36" w:rsidP="0071289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A1098A" w:rsidRPr="00014C80">
        <w:rPr>
          <w:rFonts w:ascii="Times New Roman" w:hAnsi="Times New Roman" w:cs="Times New Roman"/>
          <w:sz w:val="24"/>
          <w:szCs w:val="24"/>
        </w:rPr>
        <w:t>Second, increment in body weight is an aftereffect of awkwardness in vitality admission and consumption</w:t>
      </w:r>
      <w:r w:rsidR="00712895">
        <w:rPr>
          <w:rFonts w:ascii="Times New Roman" w:hAnsi="Times New Roman" w:cs="Times New Roman"/>
          <w:sz w:val="24"/>
          <w:szCs w:val="24"/>
        </w:rPr>
        <w:t xml:space="preserve"> (</w:t>
      </w:r>
      <w:r w:rsidR="00712895" w:rsidRPr="008F157E">
        <w:rPr>
          <w:rFonts w:ascii="Times New Roman" w:hAnsi="Times New Roman" w:cs="Times New Roman"/>
          <w:color w:val="222222"/>
          <w:sz w:val="24"/>
          <w:szCs w:val="24"/>
          <w:shd w:val="clear" w:color="auto" w:fill="FFFFFF"/>
        </w:rPr>
        <w:t>Harpainter</w:t>
      </w:r>
      <w:r w:rsidR="00712895">
        <w:rPr>
          <w:rFonts w:ascii="Times New Roman" w:hAnsi="Times New Roman" w:cs="Times New Roman"/>
          <w:color w:val="222222"/>
          <w:sz w:val="24"/>
          <w:szCs w:val="24"/>
          <w:shd w:val="clear" w:color="auto" w:fill="FFFFFF"/>
        </w:rPr>
        <w:t xml:space="preserve"> et al. (2019)</w:t>
      </w:r>
      <w:r w:rsidR="00A1098A" w:rsidRPr="00014C80">
        <w:rPr>
          <w:rFonts w:ascii="Times New Roman" w:hAnsi="Times New Roman" w:cs="Times New Roman"/>
          <w:sz w:val="24"/>
          <w:szCs w:val="24"/>
        </w:rPr>
        <w:t>. To examine the possible impact of SSB charges on vitality consumption, request interrelationships among SSBs, and plenty of nourishments and different refreshments should be resolved to perform strategy recreations</w:t>
      </w:r>
      <w:r w:rsidR="00A1098A">
        <w:rPr>
          <w:rFonts w:ascii="Times New Roman" w:hAnsi="Times New Roman" w:cs="Times New Roman"/>
          <w:sz w:val="24"/>
          <w:szCs w:val="24"/>
        </w:rPr>
        <w:t xml:space="preserve">. </w:t>
      </w:r>
      <w:r w:rsidR="00D454D3" w:rsidRPr="00D454D3">
        <w:rPr>
          <w:rFonts w:ascii="Times New Roman" w:hAnsi="Times New Roman" w:cs="Times New Roman"/>
          <w:sz w:val="24"/>
          <w:szCs w:val="24"/>
        </w:rPr>
        <w:t>Since we utilized a log–connect, the exponentiated coefficient for the post-tax period showed the percent change in refreshment utilization in examining urban communities</w:t>
      </w:r>
      <w:r w:rsidR="00D454D3">
        <w:rPr>
          <w:rFonts w:ascii="Times New Roman" w:hAnsi="Times New Roman" w:cs="Times New Roman"/>
          <w:sz w:val="24"/>
          <w:szCs w:val="24"/>
        </w:rPr>
        <w:t>.</w:t>
      </w:r>
    </w:p>
    <w:p w14:paraId="195C605E" w14:textId="676C1DFF" w:rsidR="00DF25F4" w:rsidRDefault="00A1098A" w:rsidP="0071289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DF25F4">
        <w:rPr>
          <w:rFonts w:ascii="Times New Roman" w:hAnsi="Times New Roman" w:cs="Times New Roman"/>
          <w:sz w:val="24"/>
          <w:szCs w:val="24"/>
        </w:rPr>
        <w:t>The cross versatility of interest for water as for the cost of sugar-improved beverages rises to the rate change in the part for water separated by the rate change in the price of sugar-improved drinks</w:t>
      </w:r>
      <w:r w:rsidR="004B0830">
        <w:rPr>
          <w:rFonts w:ascii="Times New Roman" w:hAnsi="Times New Roman" w:cs="Times New Roman"/>
          <w:sz w:val="24"/>
          <w:szCs w:val="24"/>
        </w:rPr>
        <w:t xml:space="preserve"> (</w:t>
      </w:r>
      <w:r w:rsidR="004B0830" w:rsidRPr="008F157E">
        <w:rPr>
          <w:rFonts w:ascii="Times New Roman" w:hAnsi="Times New Roman" w:cs="Times New Roman"/>
          <w:color w:val="222222"/>
          <w:sz w:val="24"/>
          <w:szCs w:val="24"/>
          <w:shd w:val="clear" w:color="auto" w:fill="FFFFFF"/>
        </w:rPr>
        <w:t>Falbe</w:t>
      </w:r>
      <w:r w:rsidR="004B0830">
        <w:rPr>
          <w:rFonts w:ascii="Times New Roman" w:hAnsi="Times New Roman" w:cs="Times New Roman"/>
          <w:color w:val="222222"/>
          <w:sz w:val="24"/>
          <w:szCs w:val="24"/>
          <w:shd w:val="clear" w:color="auto" w:fill="FFFFFF"/>
        </w:rPr>
        <w:t xml:space="preserve"> et al (2020)</w:t>
      </w:r>
      <w:r w:rsidRPr="00DF25F4">
        <w:rPr>
          <w:rFonts w:ascii="Times New Roman" w:hAnsi="Times New Roman" w:cs="Times New Roman"/>
          <w:sz w:val="24"/>
          <w:szCs w:val="24"/>
        </w:rPr>
        <w:t>. The article noticed that the interest for water expanded by 63 percent, and the examination after the report determined that the cost of sugar-improved beverages rose by ($0.14/$1.82) × 100, or 7.7 percent. In this way, the cross versatility of interest for water regarding the cost of sugar-improved beverages approaches (63 percent/7.7 percent) or 8.2</w:t>
      </w:r>
      <w:r>
        <w:rPr>
          <w:rFonts w:ascii="Times New Roman" w:hAnsi="Times New Roman" w:cs="Times New Roman"/>
          <w:sz w:val="24"/>
          <w:szCs w:val="24"/>
        </w:rPr>
        <w:t>.</w:t>
      </w:r>
      <w:r w:rsidRPr="00DF25F4">
        <w:t xml:space="preserve"> </w:t>
      </w:r>
      <w:r w:rsidRPr="00DF25F4">
        <w:rPr>
          <w:rFonts w:ascii="Times New Roman" w:hAnsi="Times New Roman" w:cs="Times New Roman"/>
          <w:sz w:val="24"/>
          <w:szCs w:val="24"/>
        </w:rPr>
        <w:t xml:space="preserve">The complete income test reasons that when the price rises, the total income diminishes if the request is flexible, </w:t>
      </w:r>
      <w:r w:rsidRPr="00DF25F4">
        <w:rPr>
          <w:rFonts w:ascii="Times New Roman" w:hAnsi="Times New Roman" w:cs="Times New Roman"/>
          <w:sz w:val="24"/>
          <w:szCs w:val="24"/>
        </w:rPr>
        <w:lastRenderedPageBreak/>
        <w:t>doesn't change if the offer is unit versatile, and increments if demand is inelastic</w:t>
      </w:r>
      <w:r w:rsidR="00712895">
        <w:rPr>
          <w:rFonts w:ascii="Times New Roman" w:hAnsi="Times New Roman" w:cs="Times New Roman"/>
          <w:sz w:val="24"/>
          <w:szCs w:val="24"/>
        </w:rPr>
        <w:t xml:space="preserve"> (</w:t>
      </w:r>
      <w:r w:rsidR="00712895" w:rsidRPr="008F157E">
        <w:rPr>
          <w:rFonts w:ascii="Times New Roman" w:hAnsi="Times New Roman" w:cs="Times New Roman"/>
          <w:color w:val="222222"/>
          <w:sz w:val="24"/>
          <w:szCs w:val="24"/>
          <w:shd w:val="clear" w:color="auto" w:fill="FFFFFF"/>
        </w:rPr>
        <w:t>Silver</w:t>
      </w:r>
      <w:r w:rsidR="00712895">
        <w:rPr>
          <w:rFonts w:ascii="Times New Roman" w:hAnsi="Times New Roman" w:cs="Times New Roman"/>
          <w:color w:val="222222"/>
          <w:sz w:val="24"/>
          <w:szCs w:val="24"/>
          <w:shd w:val="clear" w:color="auto" w:fill="FFFFFF"/>
        </w:rPr>
        <w:t xml:space="preserve"> et al. 2017)</w:t>
      </w:r>
      <w:r w:rsidRPr="00DF25F4">
        <w:rPr>
          <w:rFonts w:ascii="Times New Roman" w:hAnsi="Times New Roman" w:cs="Times New Roman"/>
          <w:sz w:val="24"/>
          <w:szCs w:val="24"/>
        </w:rPr>
        <w:t>. The investigation of the article exhibited that the interest in the sugar-improved beverages is versatile, so the total income from sugar-improved drinks diminished.</w:t>
      </w:r>
    </w:p>
    <w:p w14:paraId="3199D614" w14:textId="194B042D" w:rsidR="008F157E" w:rsidRDefault="00A1098A" w:rsidP="0071289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14C80" w:rsidRPr="00014C80">
        <w:rPr>
          <w:rFonts w:ascii="Times New Roman" w:hAnsi="Times New Roman" w:cs="Times New Roman"/>
          <w:sz w:val="24"/>
          <w:szCs w:val="24"/>
        </w:rPr>
        <w:t>Rather than gulping as much Coke, Gatorade, Red Bull, and Hawaiian Punch, the Berkeley occupants supported their water utilization by 63%. In the neighboring urban areas, low-salary occupants drank just 19% more water during the examination time frame.</w:t>
      </w:r>
      <w:r w:rsidR="00014C80">
        <w:rPr>
          <w:rFonts w:ascii="Times New Roman" w:hAnsi="Times New Roman" w:cs="Times New Roman"/>
          <w:sz w:val="24"/>
          <w:szCs w:val="24"/>
        </w:rPr>
        <w:t xml:space="preserve"> </w:t>
      </w:r>
      <w:r w:rsidR="00DF25F4" w:rsidRPr="00DF25F4">
        <w:rPr>
          <w:rFonts w:ascii="Times New Roman" w:hAnsi="Times New Roman" w:cs="Times New Roman"/>
          <w:sz w:val="24"/>
          <w:szCs w:val="24"/>
        </w:rPr>
        <w:t xml:space="preserve">The value versatility of interest for the few beverages named is bigger than the value flexibility of interest for sugar-improved drinks. The beverages are a barely characterized great, so they have many close substitutes, for example, Pepsi, Powerade, Rockstar, and Tropicana Twister. Sugar-sweetened drinks is an all the more extensively characterized item, so it has </w:t>
      </w:r>
      <w:r w:rsidR="00014C80" w:rsidRPr="00DF25F4">
        <w:rPr>
          <w:rFonts w:ascii="Times New Roman" w:hAnsi="Times New Roman" w:cs="Times New Roman"/>
          <w:sz w:val="24"/>
          <w:szCs w:val="24"/>
        </w:rPr>
        <w:t>fewer</w:t>
      </w:r>
      <w:r w:rsidR="00DF25F4" w:rsidRPr="00DF25F4">
        <w:rPr>
          <w:rFonts w:ascii="Times New Roman" w:hAnsi="Times New Roman" w:cs="Times New Roman"/>
          <w:sz w:val="24"/>
          <w:szCs w:val="24"/>
        </w:rPr>
        <w:t xml:space="preserve"> close substitutes.</w:t>
      </w:r>
    </w:p>
    <w:p w14:paraId="31C832BC" w14:textId="372F9F68" w:rsidR="008F157E" w:rsidRDefault="00A1098A" w:rsidP="0071289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12895">
        <w:rPr>
          <w:rFonts w:ascii="Times New Roman" w:hAnsi="Times New Roman" w:cs="Times New Roman"/>
          <w:sz w:val="24"/>
          <w:szCs w:val="24"/>
        </w:rPr>
        <w:t xml:space="preserve">Nourishment norms restricted sweet beverages served by city organizations. Broad communications crusades instructed New Yorkers on the additional sugars in sweet drinks and their wellbeing sway. Strategy recommendations incorporated an extract charge, a limitation on the utilization of Supplemental Nutrition Assistance Program benefits, and a top on sweet beverage parcel sizes in food administration foundations. These activities were joined by a 35% decline in </w:t>
      </w:r>
      <w:r w:rsidR="006C4101" w:rsidRPr="006C4101">
        <w:rPr>
          <w:rFonts w:ascii="Times New Roman" w:hAnsi="Times New Roman" w:cs="Times New Roman"/>
          <w:sz w:val="24"/>
          <w:szCs w:val="24"/>
        </w:rPr>
        <w:t>the amount of New York City adults exhausting, in any event, one sweet drink every day and a 27% decrease in open optional school understudies doing as such from 2007 to 2013.</w:t>
      </w:r>
      <w:r>
        <w:rPr>
          <w:rFonts w:ascii="Times New Roman" w:hAnsi="Times New Roman" w:cs="Times New Roman"/>
          <w:sz w:val="24"/>
          <w:szCs w:val="24"/>
        </w:rPr>
        <w:br w:type="page"/>
      </w:r>
    </w:p>
    <w:p w14:paraId="1155EB16" w14:textId="1E03241C" w:rsidR="00DF25F4" w:rsidRDefault="00A1098A" w:rsidP="00712895">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798D149E" w14:textId="0FA90395" w:rsidR="008F157E" w:rsidRPr="008F157E" w:rsidRDefault="00A1098A" w:rsidP="00712895">
      <w:pPr>
        <w:spacing w:line="480" w:lineRule="auto"/>
        <w:ind w:left="720" w:hanging="720"/>
        <w:contextualSpacing/>
        <w:jc w:val="both"/>
        <w:rPr>
          <w:rFonts w:ascii="Times New Roman" w:hAnsi="Times New Roman" w:cs="Times New Roman"/>
          <w:b/>
          <w:bCs/>
          <w:sz w:val="24"/>
          <w:szCs w:val="24"/>
        </w:rPr>
      </w:pPr>
      <w:r w:rsidRPr="008F157E">
        <w:rPr>
          <w:rFonts w:ascii="Times New Roman" w:hAnsi="Times New Roman" w:cs="Times New Roman"/>
          <w:color w:val="222222"/>
          <w:sz w:val="24"/>
          <w:szCs w:val="24"/>
          <w:shd w:val="clear" w:color="auto" w:fill="FFFFFF"/>
        </w:rPr>
        <w:t>Falbe, J., Grummon, A. H., Rojas, N., Ryan-Ibarra, S., Silver, L. D., &amp; Madsen, K. A. (2020). Implementation of the First US Sugar-Sweetened Beverage Tax in Berkeley, CA, 2015–2019. </w:t>
      </w:r>
      <w:r w:rsidRPr="008F157E">
        <w:rPr>
          <w:rFonts w:ascii="Times New Roman" w:hAnsi="Times New Roman" w:cs="Times New Roman"/>
          <w:i/>
          <w:iCs/>
          <w:color w:val="222222"/>
          <w:sz w:val="24"/>
          <w:szCs w:val="24"/>
          <w:shd w:val="clear" w:color="auto" w:fill="FFFFFF"/>
        </w:rPr>
        <w:t>American Journal of Public Health</w:t>
      </w:r>
      <w:r w:rsidRPr="008F157E">
        <w:rPr>
          <w:rFonts w:ascii="Times New Roman" w:hAnsi="Times New Roman" w:cs="Times New Roman"/>
          <w:color w:val="222222"/>
          <w:sz w:val="24"/>
          <w:szCs w:val="24"/>
          <w:shd w:val="clear" w:color="auto" w:fill="FFFFFF"/>
        </w:rPr>
        <w:t>, </w:t>
      </w:r>
      <w:r w:rsidRPr="008F157E">
        <w:rPr>
          <w:rFonts w:ascii="Times New Roman" w:hAnsi="Times New Roman" w:cs="Times New Roman"/>
          <w:i/>
          <w:iCs/>
          <w:color w:val="222222"/>
          <w:sz w:val="24"/>
          <w:szCs w:val="24"/>
          <w:shd w:val="clear" w:color="auto" w:fill="FFFFFF"/>
        </w:rPr>
        <w:t>110</w:t>
      </w:r>
      <w:r w:rsidRPr="008F157E">
        <w:rPr>
          <w:rFonts w:ascii="Times New Roman" w:hAnsi="Times New Roman" w:cs="Times New Roman"/>
          <w:color w:val="222222"/>
          <w:sz w:val="24"/>
          <w:szCs w:val="24"/>
          <w:shd w:val="clear" w:color="auto" w:fill="FFFFFF"/>
        </w:rPr>
        <w:t>(9), 1429-1437.</w:t>
      </w:r>
    </w:p>
    <w:p w14:paraId="7EC087CF" w14:textId="7868773E" w:rsidR="008F157E" w:rsidRDefault="00A1098A" w:rsidP="00712895">
      <w:pPr>
        <w:spacing w:line="480" w:lineRule="auto"/>
        <w:ind w:left="720" w:hanging="720"/>
        <w:contextualSpacing/>
        <w:jc w:val="both"/>
        <w:rPr>
          <w:rFonts w:ascii="Times New Roman" w:hAnsi="Times New Roman" w:cs="Times New Roman"/>
          <w:color w:val="222222"/>
          <w:sz w:val="24"/>
          <w:szCs w:val="24"/>
          <w:shd w:val="clear" w:color="auto" w:fill="FFFFFF"/>
        </w:rPr>
      </w:pPr>
      <w:r w:rsidRPr="008F157E">
        <w:rPr>
          <w:rFonts w:ascii="Times New Roman" w:hAnsi="Times New Roman" w:cs="Times New Roman"/>
          <w:color w:val="222222"/>
          <w:sz w:val="24"/>
          <w:szCs w:val="24"/>
          <w:shd w:val="clear" w:color="auto" w:fill="FFFFFF"/>
        </w:rPr>
        <w:t xml:space="preserve">Harpainter, P., Woodward-Lopez, G., Martin, A., Lee, D., Ritchie, L., Plank, K., &amp; Gosliner, W. (2019, November). Baseline findings from the evaluation of the first state law on healthy default beverages in kid's meals. In </w:t>
      </w:r>
      <w:r w:rsidRPr="008F157E">
        <w:rPr>
          <w:rFonts w:ascii="Times New Roman" w:hAnsi="Times New Roman" w:cs="Times New Roman"/>
          <w:i/>
          <w:iCs/>
          <w:color w:val="222222"/>
          <w:sz w:val="24"/>
          <w:szCs w:val="24"/>
          <w:shd w:val="clear" w:color="auto" w:fill="FFFFFF"/>
        </w:rPr>
        <w:t>APHA's 2019 Annual Meeting and Expo (Nov. 2-Nov. 6)</w:t>
      </w:r>
      <w:r w:rsidRPr="008F157E">
        <w:rPr>
          <w:rFonts w:ascii="Times New Roman" w:hAnsi="Times New Roman" w:cs="Times New Roman"/>
          <w:color w:val="222222"/>
          <w:sz w:val="24"/>
          <w:szCs w:val="24"/>
          <w:shd w:val="clear" w:color="auto" w:fill="FFFFFF"/>
        </w:rPr>
        <w:t>. American Public Health Association.</w:t>
      </w:r>
    </w:p>
    <w:p w14:paraId="316C2CE5" w14:textId="77777777" w:rsidR="008F157E" w:rsidRDefault="00A1098A" w:rsidP="00712895">
      <w:pPr>
        <w:spacing w:line="480" w:lineRule="auto"/>
        <w:ind w:left="720" w:hanging="720"/>
        <w:contextualSpacing/>
        <w:jc w:val="both"/>
        <w:rPr>
          <w:rFonts w:ascii="Times New Roman" w:hAnsi="Times New Roman" w:cs="Times New Roman"/>
          <w:color w:val="222222"/>
          <w:sz w:val="24"/>
          <w:szCs w:val="24"/>
          <w:shd w:val="clear" w:color="auto" w:fill="FFFFFF"/>
        </w:rPr>
      </w:pPr>
      <w:r w:rsidRPr="008F157E">
        <w:rPr>
          <w:rFonts w:ascii="Times New Roman" w:hAnsi="Times New Roman" w:cs="Times New Roman"/>
          <w:color w:val="222222"/>
          <w:sz w:val="24"/>
          <w:szCs w:val="24"/>
          <w:shd w:val="clear" w:color="auto" w:fill="FFFFFF"/>
        </w:rPr>
        <w:t>Silver, L. D., Ng, S. W., Ryan-Ibarra, S., Taillie, L. S., Induni, M., Miles, D. R., ... &amp; Popkin, B. M. (2017). Changes in prices, sales, consumer spending, and beverage consumption one year after a tax on sugar-sweetened beverages in Berkeley, California, US: A before-and-after study. </w:t>
      </w:r>
      <w:r w:rsidRPr="008F157E">
        <w:rPr>
          <w:rFonts w:ascii="Times New Roman" w:hAnsi="Times New Roman" w:cs="Times New Roman"/>
          <w:i/>
          <w:iCs/>
          <w:color w:val="222222"/>
          <w:sz w:val="24"/>
          <w:szCs w:val="24"/>
          <w:shd w:val="clear" w:color="auto" w:fill="FFFFFF"/>
        </w:rPr>
        <w:t>PLoS medicine</w:t>
      </w:r>
      <w:r w:rsidRPr="008F157E">
        <w:rPr>
          <w:rFonts w:ascii="Times New Roman" w:hAnsi="Times New Roman" w:cs="Times New Roman"/>
          <w:color w:val="222222"/>
          <w:sz w:val="24"/>
          <w:szCs w:val="24"/>
          <w:shd w:val="clear" w:color="auto" w:fill="FFFFFF"/>
        </w:rPr>
        <w:t>, </w:t>
      </w:r>
      <w:r w:rsidRPr="008F157E">
        <w:rPr>
          <w:rFonts w:ascii="Times New Roman" w:hAnsi="Times New Roman" w:cs="Times New Roman"/>
          <w:i/>
          <w:iCs/>
          <w:color w:val="222222"/>
          <w:sz w:val="24"/>
          <w:szCs w:val="24"/>
          <w:shd w:val="clear" w:color="auto" w:fill="FFFFFF"/>
        </w:rPr>
        <w:t>14</w:t>
      </w:r>
      <w:r w:rsidRPr="008F157E">
        <w:rPr>
          <w:rFonts w:ascii="Times New Roman" w:hAnsi="Times New Roman" w:cs="Times New Roman"/>
          <w:color w:val="222222"/>
          <w:sz w:val="24"/>
          <w:szCs w:val="24"/>
          <w:shd w:val="clear" w:color="auto" w:fill="FFFFFF"/>
        </w:rPr>
        <w:t>(4), e1002283.</w:t>
      </w:r>
    </w:p>
    <w:p w14:paraId="5AB373BE" w14:textId="77777777" w:rsidR="008F157E" w:rsidRDefault="008F157E" w:rsidP="00712895">
      <w:pPr>
        <w:spacing w:line="480" w:lineRule="auto"/>
        <w:ind w:left="720" w:hanging="720"/>
        <w:contextualSpacing/>
        <w:jc w:val="both"/>
        <w:rPr>
          <w:rFonts w:ascii="Times New Roman" w:hAnsi="Times New Roman" w:cs="Times New Roman"/>
          <w:color w:val="222222"/>
          <w:sz w:val="24"/>
          <w:szCs w:val="24"/>
          <w:shd w:val="clear" w:color="auto" w:fill="FFFFFF"/>
        </w:rPr>
      </w:pPr>
    </w:p>
    <w:p w14:paraId="7C757834" w14:textId="77777777" w:rsidR="008F157E" w:rsidRPr="008F157E" w:rsidRDefault="008F157E" w:rsidP="00712895">
      <w:pPr>
        <w:spacing w:line="480" w:lineRule="auto"/>
        <w:ind w:left="720" w:hanging="720"/>
        <w:contextualSpacing/>
        <w:jc w:val="both"/>
        <w:rPr>
          <w:rFonts w:ascii="Times New Roman" w:hAnsi="Times New Roman" w:cs="Times New Roman"/>
          <w:b/>
          <w:bCs/>
          <w:sz w:val="24"/>
          <w:szCs w:val="24"/>
        </w:rPr>
      </w:pPr>
    </w:p>
    <w:p w14:paraId="56FFA45E" w14:textId="77777777" w:rsidR="00CD2A83" w:rsidRPr="00CD2A83" w:rsidRDefault="00CD2A83" w:rsidP="00712895">
      <w:pPr>
        <w:spacing w:line="480" w:lineRule="auto"/>
        <w:contextualSpacing/>
        <w:rPr>
          <w:rFonts w:ascii="Times New Roman" w:hAnsi="Times New Roman" w:cs="Times New Roman"/>
          <w:sz w:val="24"/>
          <w:szCs w:val="24"/>
        </w:rPr>
      </w:pPr>
    </w:p>
    <w:sectPr w:rsidR="00CD2A83" w:rsidRPr="00CD2A83" w:rsidSect="003B00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5EC42" w14:textId="77777777" w:rsidR="0069763D" w:rsidRDefault="0069763D">
      <w:pPr>
        <w:spacing w:after="0" w:line="240" w:lineRule="auto"/>
      </w:pPr>
      <w:r>
        <w:separator/>
      </w:r>
    </w:p>
  </w:endnote>
  <w:endnote w:type="continuationSeparator" w:id="0">
    <w:p w14:paraId="6BC175F0" w14:textId="77777777" w:rsidR="0069763D" w:rsidRDefault="00697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4BD6B5" w14:textId="77777777" w:rsidR="0069763D" w:rsidRDefault="0069763D">
      <w:pPr>
        <w:spacing w:after="0" w:line="240" w:lineRule="auto"/>
      </w:pPr>
      <w:r>
        <w:separator/>
      </w:r>
    </w:p>
  </w:footnote>
  <w:footnote w:type="continuationSeparator" w:id="0">
    <w:p w14:paraId="50172BB0" w14:textId="77777777" w:rsidR="0069763D" w:rsidRDefault="00697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1566608"/>
      <w:docPartObj>
        <w:docPartGallery w:val="Page Numbers (Top of Page)"/>
        <w:docPartUnique/>
      </w:docPartObj>
    </w:sdtPr>
    <w:sdtEndPr>
      <w:rPr>
        <w:noProof/>
      </w:rPr>
    </w:sdtEndPr>
    <w:sdtContent>
      <w:p w14:paraId="6FB5BCFF" w14:textId="5EDF1E07" w:rsidR="00CD2A83" w:rsidRDefault="00A1098A">
        <w:pPr>
          <w:pStyle w:val="Header"/>
          <w:jc w:val="right"/>
        </w:pPr>
        <w:r>
          <w:t>BEVERAGES</w:t>
        </w:r>
        <w:r>
          <w:tab/>
        </w:r>
        <w:r>
          <w:tab/>
        </w:r>
        <w:r>
          <w:fldChar w:fldCharType="begin"/>
        </w:r>
        <w:r>
          <w:instrText xml:space="preserve"> PAGE   \* MERGEFORMAT </w:instrText>
        </w:r>
        <w:r>
          <w:fldChar w:fldCharType="separate"/>
        </w:r>
        <w:r>
          <w:rPr>
            <w:noProof/>
          </w:rPr>
          <w:t>2</w:t>
        </w:r>
        <w:r>
          <w:rPr>
            <w:noProof/>
          </w:rPr>
          <w:fldChar w:fldCharType="end"/>
        </w:r>
      </w:p>
    </w:sdtContent>
  </w:sdt>
  <w:p w14:paraId="5E5BFB3C" w14:textId="77777777" w:rsidR="00CD2A83" w:rsidRDefault="00CD2A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3A860" w14:textId="32633EA2" w:rsidR="003B003C" w:rsidRDefault="003B003C">
    <w:pPr>
      <w:pStyle w:val="Header"/>
      <w:jc w:val="right"/>
    </w:pPr>
    <w:r>
      <w:t>Running head: BEVERAGES</w:t>
    </w:r>
    <w:r>
      <w:tab/>
    </w:r>
    <w:r>
      <w:tab/>
    </w:r>
    <w:sdt>
      <w:sdtPr>
        <w:id w:val="-7816465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07DC0F" w14:textId="77777777" w:rsidR="003B003C" w:rsidRDefault="003B00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A83"/>
    <w:rsid w:val="00014C80"/>
    <w:rsid w:val="000F3C36"/>
    <w:rsid w:val="003208CF"/>
    <w:rsid w:val="00336253"/>
    <w:rsid w:val="003B003C"/>
    <w:rsid w:val="004B0830"/>
    <w:rsid w:val="0068416F"/>
    <w:rsid w:val="0069763D"/>
    <w:rsid w:val="006C4101"/>
    <w:rsid w:val="00712895"/>
    <w:rsid w:val="008F157E"/>
    <w:rsid w:val="00A1098A"/>
    <w:rsid w:val="00AE2D6B"/>
    <w:rsid w:val="00BD61AC"/>
    <w:rsid w:val="00C20E5A"/>
    <w:rsid w:val="00CD2A83"/>
    <w:rsid w:val="00D454D3"/>
    <w:rsid w:val="00DF25F4"/>
    <w:rsid w:val="00E70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EC1CB"/>
  <w15:chartTrackingRefBased/>
  <w15:docId w15:val="{002CCD23-9852-43B8-AD6E-8A1C70925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A83"/>
  </w:style>
  <w:style w:type="paragraph" w:styleId="Footer">
    <w:name w:val="footer"/>
    <w:basedOn w:val="Normal"/>
    <w:link w:val="FooterChar"/>
    <w:uiPriority w:val="99"/>
    <w:unhideWhenUsed/>
    <w:rsid w:val="00CD2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Anthony Kivindu</dc:creator>
  <cp:lastModifiedBy>254716226303</cp:lastModifiedBy>
  <cp:revision>2</cp:revision>
  <dcterms:created xsi:type="dcterms:W3CDTF">2020-09-27T22:50:00Z</dcterms:created>
  <dcterms:modified xsi:type="dcterms:W3CDTF">2020-09-27T22:50:00Z</dcterms:modified>
</cp:coreProperties>
</file>